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F0" w:rsidRP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 w:firstLine="0"/>
        <w:jc w:val="center"/>
        <w:rPr>
          <w:b/>
        </w:rPr>
      </w:pPr>
      <w:r w:rsidRPr="00EF1AA4">
        <w:rPr>
          <w:b/>
        </w:rPr>
        <w:t xml:space="preserve">Таблица 1. </w:t>
      </w:r>
      <w:r w:rsidR="005C34F0" w:rsidRPr="00EF1AA4">
        <w:rPr>
          <w:b/>
        </w:rPr>
        <w:t>Сведения о педагогических (научно-педагогических) работниках,</w:t>
      </w:r>
    </w:p>
    <w:p w:rsidR="00EF1AA4" w:rsidRDefault="005C34F0" w:rsidP="00EF1AA4">
      <w:pPr>
        <w:autoSpaceDE w:val="0"/>
        <w:autoSpaceDN w:val="0"/>
        <w:adjustRightInd w:val="0"/>
        <w:spacing w:before="0" w:line="276" w:lineRule="auto"/>
        <w:ind w:left="0" w:right="0" w:firstLine="0"/>
        <w:jc w:val="center"/>
        <w:rPr>
          <w:b/>
        </w:rPr>
      </w:pPr>
      <w:r w:rsidRPr="00EF1AA4">
        <w:rPr>
          <w:b/>
        </w:rPr>
        <w:t xml:space="preserve">участвующих в реализации основной образовательной программы, и лицах, </w:t>
      </w:r>
    </w:p>
    <w:p w:rsidR="005C34F0" w:rsidRPr="00EF1AA4" w:rsidRDefault="005C34F0" w:rsidP="00EF1AA4">
      <w:pPr>
        <w:autoSpaceDE w:val="0"/>
        <w:autoSpaceDN w:val="0"/>
        <w:adjustRightInd w:val="0"/>
        <w:spacing w:before="0" w:line="276" w:lineRule="auto"/>
        <w:ind w:left="0" w:right="0" w:firstLine="0"/>
        <w:jc w:val="center"/>
        <w:rPr>
          <w:b/>
        </w:rPr>
      </w:pPr>
      <w:r w:rsidRPr="00EF1AA4">
        <w:rPr>
          <w:b/>
        </w:rPr>
        <w:t>привлекаемых к реализации основной образовател</w:t>
      </w:r>
      <w:r w:rsidR="00EF1AA4" w:rsidRPr="00EF1AA4">
        <w:rPr>
          <w:b/>
        </w:rPr>
        <w:t>ьной программы на иных условиях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1927"/>
        <w:gridCol w:w="1757"/>
        <w:gridCol w:w="6444"/>
        <w:gridCol w:w="992"/>
        <w:gridCol w:w="1134"/>
      </w:tblGrid>
      <w:tr w:rsidR="005C34F0" w:rsidTr="005C34F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(при наличии) педагогического работника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привлечения (по основному месту работы, на условиях внутреннего/внешнего совместительства, на условиях гражданско-правового договора) педагогических работников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и (или) </w:t>
            </w:r>
            <w:proofErr w:type="spellStart"/>
            <w:r>
              <w:rPr>
                <w:sz w:val="16"/>
                <w:szCs w:val="16"/>
              </w:rPr>
              <w:t>лауреатства</w:t>
            </w:r>
            <w:proofErr w:type="spellEnd"/>
            <w:r>
              <w:rPr>
                <w:sz w:val="16"/>
                <w:szCs w:val="16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учебной нагрузки педагогического работника</w:t>
            </w:r>
          </w:p>
        </w:tc>
      </w:tr>
      <w:tr w:rsidR="005C34F0" w:rsidTr="005C34F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F0" w:rsidRDefault="005C34F0">
            <w:pPr>
              <w:spacing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F0" w:rsidRDefault="005C34F0">
            <w:pPr>
              <w:spacing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F0" w:rsidRDefault="005C34F0">
            <w:pPr>
              <w:spacing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F0" w:rsidRDefault="005C34F0">
            <w:pPr>
              <w:spacing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F0" w:rsidRDefault="005C34F0">
            <w:pPr>
              <w:spacing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от ставки</w:t>
            </w:r>
          </w:p>
        </w:tc>
      </w:tr>
      <w:tr w:rsidR="005C34F0" w:rsidTr="005C34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C34F0" w:rsidTr="005C34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0" w:rsidRDefault="005C34F0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0" w:rsidRPr="00EF1AA4" w:rsidRDefault="005C34F0" w:rsidP="00EF1AA4">
            <w:pPr>
              <w:autoSpaceDE w:val="0"/>
              <w:autoSpaceDN w:val="0"/>
              <w:adjustRightInd w:val="0"/>
              <w:spacing w:before="0" w:line="240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заполняется деканатами (отделами, институтами, кафедрами)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5C34F0" w:rsidRDefault="005C34F0" w:rsidP="005C34F0">
      <w:pPr>
        <w:autoSpaceDE w:val="0"/>
        <w:autoSpaceDN w:val="0"/>
        <w:adjustRightInd w:val="0"/>
        <w:spacing w:before="0" w:line="240" w:lineRule="auto"/>
        <w:ind w:left="0" w:right="0" w:firstLine="0"/>
        <w:rPr>
          <w:sz w:val="16"/>
          <w:szCs w:val="16"/>
        </w:rPr>
      </w:pP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t xml:space="preserve">В таблице 1 указываются 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условиях, </w:t>
      </w:r>
      <w:r>
        <w:rPr>
          <w:u w:val="single"/>
        </w:rPr>
        <w:t xml:space="preserve">с которыми на дату подачи заявления </w:t>
      </w:r>
      <w:r>
        <w:t>заключен трудовой договор или гражданско-правовой договор.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rPr>
          <w:u w:val="single"/>
        </w:rPr>
        <w:t xml:space="preserve">В графе 4: </w:t>
      </w:r>
      <w:r>
        <w:t xml:space="preserve">указывается условие привлечения каждого педагогического работника к реализации образовательной программы. Определение условий производится, исходя </w:t>
      </w:r>
      <w:proofErr w:type="gramStart"/>
      <w:r>
        <w:t>из</w:t>
      </w:r>
      <w:proofErr w:type="gramEnd"/>
      <w:r>
        <w:t xml:space="preserve">: 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t>- документов, приобщенных к личному делу педагогического работника;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t>- условий гражданско-правового договора об оказании образовательных услуг.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rPr>
          <w:u w:val="single"/>
        </w:rPr>
        <w:t>Графа 5</w:t>
      </w:r>
      <w:r>
        <w:t>: заполняется, исходя из представленных работником документов.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rPr>
          <w:u w:val="single"/>
        </w:rPr>
        <w:t>В графе 6</w:t>
      </w:r>
      <w:r>
        <w:t>: указывается общее суммарное количество часов учебной нагрузки по каждой дисциплине (модулю), практикам, включая часы по всем видам контактной работы (прием зачетов, экзаменов, консультации, руководство курсовыми работами и др.), в соответствии с учебным планом за весь период реализации образовательной программы. Учебная нагрузка указывается по старшему (на дату подачи заявления) курсу основной образовательной программы.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 w:firstLine="539"/>
      </w:pPr>
      <w:r>
        <w:rPr>
          <w:u w:val="single"/>
        </w:rPr>
        <w:t>В графе 7</w:t>
      </w:r>
      <w:r>
        <w:t xml:space="preserve"> указывается доля ставки, занимаемая педагогическим работником, которая рассчитывается как отношение количества часов учебной нагрузки к верхнему пределу учебной нагрузки. 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</w:p>
    <w:p w:rsid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</w:rPr>
      </w:pPr>
    </w:p>
    <w:p w:rsid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</w:rPr>
      </w:pPr>
    </w:p>
    <w:p w:rsid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</w:rPr>
      </w:pPr>
    </w:p>
    <w:p w:rsidR="005C34F0" w:rsidRPr="00EF1AA4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</w:rPr>
      </w:pPr>
      <w:r w:rsidRPr="00EF1AA4">
        <w:rPr>
          <w:b/>
        </w:rPr>
        <w:lastRenderedPageBreak/>
        <w:t>Таблица 2. Количество педагогических ставок, необходимое для реализации образовательной программы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</w:rPr>
      </w:pPr>
      <w:r w:rsidRPr="00EF1AA4">
        <w:rPr>
          <w:b/>
        </w:rPr>
        <w:t>в соответствии с условиями ее реализации и направленностью</w:t>
      </w:r>
    </w:p>
    <w:p w:rsidR="00EF1AA4" w:rsidRP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  <w:sz w:val="16"/>
          <w:szCs w:val="16"/>
        </w:rPr>
      </w:pPr>
    </w:p>
    <w:tbl>
      <w:tblPr>
        <w:tblW w:w="14621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  <w:gridCol w:w="3993"/>
      </w:tblGrid>
      <w:tr w:rsidR="005C34F0" w:rsidTr="00EF1AA4">
        <w:trPr>
          <w:trHeight w:val="327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Pr="00EF1AA4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outlineLvl w:val="0"/>
              <w:rPr>
                <w:sz w:val="18"/>
                <w:szCs w:val="18"/>
              </w:rPr>
            </w:pPr>
            <w:r w:rsidRPr="00EF1AA4">
              <w:rPr>
                <w:sz w:val="18"/>
                <w:szCs w:val="18"/>
              </w:rPr>
              <w:t>Педагогические ставки, необходимые для реализации образовательной программы в соответствии с условиями ее реализации и направленностью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Pr="00EF1AA4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jc w:val="center"/>
              <w:outlineLvl w:val="0"/>
              <w:rPr>
                <w:sz w:val="18"/>
                <w:szCs w:val="18"/>
              </w:rPr>
            </w:pPr>
            <w:r w:rsidRPr="00EF1AA4">
              <w:rPr>
                <w:sz w:val="18"/>
                <w:szCs w:val="18"/>
              </w:rPr>
              <w:t>Количество ставок</w:t>
            </w:r>
          </w:p>
        </w:tc>
      </w:tr>
      <w:tr w:rsidR="005C34F0" w:rsidTr="00EF1AA4">
        <w:trPr>
          <w:trHeight w:val="327"/>
        </w:trPr>
        <w:tc>
          <w:tcPr>
            <w:tcW w:w="1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jc w:val="center"/>
              <w:outlineLvl w:val="0"/>
            </w:pPr>
            <w:r>
              <w:rPr>
                <w:b/>
                <w:sz w:val="16"/>
                <w:szCs w:val="16"/>
                <w:highlight w:val="yellow"/>
              </w:rPr>
              <w:t>заполняется деканатами (отделами, институтами, кафедрами</w:t>
            </w:r>
            <w:r>
              <w:rPr>
                <w:sz w:val="16"/>
                <w:szCs w:val="16"/>
                <w:highlight w:val="yellow"/>
              </w:rPr>
              <w:t>)</w:t>
            </w:r>
          </w:p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outlineLvl w:val="0"/>
      </w:pP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t>В таблице 2 указывается общее (суммарное) количество ставок педагогических работников, участвующих в реализации образовательной программы, округленное до целого числа по правилам математического округления.</w:t>
      </w:r>
      <w:r>
        <w:rPr>
          <w:sz w:val="16"/>
          <w:szCs w:val="16"/>
        </w:rPr>
        <w:t xml:space="preserve"> 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 w:firstLine="0"/>
        <w:outlineLvl w:val="0"/>
        <w:rPr>
          <w:rFonts w:ascii="Courier New" w:hAnsi="Courier New" w:cs="Courier New"/>
          <w:sz w:val="20"/>
          <w:szCs w:val="20"/>
        </w:rPr>
      </w:pPr>
    </w:p>
    <w:p w:rsidR="005C34F0" w:rsidRPr="00EF1AA4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</w:rPr>
      </w:pPr>
      <w:r w:rsidRPr="00EF1AA4">
        <w:rPr>
          <w:b/>
        </w:rPr>
        <w:t>Таблица 3. Сведения о педагогических (научно-педагогических) работниках,</w:t>
      </w:r>
    </w:p>
    <w:p w:rsidR="005C34F0" w:rsidRPr="00EF1AA4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outlineLvl w:val="0"/>
        <w:rPr>
          <w:b/>
        </w:rPr>
      </w:pPr>
      <w:proofErr w:type="gramStart"/>
      <w:r w:rsidRPr="00EF1AA4">
        <w:rPr>
          <w:b/>
        </w:rPr>
        <w:t>участвующих в реализации основной образовательной программы, и лицах, привлекаемых к реализации основной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(специалисты-практики):</w:t>
      </w:r>
      <w:proofErr w:type="gramEnd"/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 w:firstLine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874"/>
        <w:gridCol w:w="3260"/>
        <w:gridCol w:w="3828"/>
      </w:tblGrid>
      <w:tr w:rsidR="005C34F0" w:rsidTr="005C3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(при наличии) специалиста-практика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Занимаемая специалистом-практиком должность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5C34F0" w:rsidTr="005C34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C34F0" w:rsidTr="005C34F0">
        <w:trPr>
          <w:trHeight w:val="23"/>
        </w:trPr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jc w:val="center"/>
              <w:outlineLvl w:val="0"/>
            </w:pPr>
            <w:r>
              <w:rPr>
                <w:b/>
                <w:sz w:val="16"/>
                <w:szCs w:val="16"/>
                <w:highlight w:val="yellow"/>
              </w:rPr>
              <w:t>заполняется деканатами (отделами, институтами, кафедрами</w:t>
            </w:r>
            <w:r>
              <w:rPr>
                <w:sz w:val="16"/>
                <w:szCs w:val="16"/>
                <w:highlight w:val="yellow"/>
              </w:rPr>
              <w:t>)</w:t>
            </w:r>
          </w:p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</w:tr>
    </w:tbl>
    <w:p w:rsidR="005C34F0" w:rsidRDefault="005C34F0" w:rsidP="00EF1AA4">
      <w:pPr>
        <w:spacing w:line="276" w:lineRule="auto"/>
        <w:ind w:left="0"/>
      </w:pPr>
      <w:r>
        <w:rPr>
          <w:u w:val="single"/>
        </w:rPr>
        <w:t>Графы 3 и 4:</w:t>
      </w:r>
      <w:r>
        <w:t xml:space="preserve"> в данные графы заносятся сведения, актуальные на дату заполнения таблицы. В случае работы специалиста-практика в нескольких организациях данные по каждой организации заносятся отдельной строкой.</w:t>
      </w:r>
    </w:p>
    <w:p w:rsidR="005C34F0" w:rsidRDefault="005C34F0" w:rsidP="00EF1AA4">
      <w:pPr>
        <w:spacing w:line="276" w:lineRule="auto"/>
        <w:ind w:left="0"/>
      </w:pPr>
      <w:r>
        <w:rPr>
          <w:u w:val="single"/>
        </w:rPr>
        <w:t>Графа 5</w:t>
      </w:r>
      <w:r>
        <w:t xml:space="preserve">: общий трудовой стаж рассчитывается как суммарное количество лет и месяцев работы во всех профильных организациях и указывается как количество полных лет и количество полных месяцев, исходя из данных, актуальных на дату заполнения таблицы. </w:t>
      </w:r>
    </w:p>
    <w:p w:rsid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rPr>
          <w:b/>
        </w:rPr>
      </w:pPr>
    </w:p>
    <w:p w:rsid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rPr>
          <w:b/>
        </w:rPr>
      </w:pP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rPr>
          <w:b/>
        </w:rPr>
      </w:pPr>
      <w:r w:rsidRPr="00EF1AA4">
        <w:rPr>
          <w:b/>
        </w:rPr>
        <w:lastRenderedPageBreak/>
        <w:t>Таблица 4.</w:t>
      </w:r>
      <w:r w:rsidRPr="00EF1AA4">
        <w:rPr>
          <w:rFonts w:ascii="Courier New" w:hAnsi="Courier New" w:cs="Courier New"/>
          <w:b/>
        </w:rPr>
        <w:t xml:space="preserve"> </w:t>
      </w:r>
      <w:r w:rsidRPr="00EF1AA4">
        <w:rPr>
          <w:b/>
        </w:rPr>
        <w:t>Наличие электронной инфо</w:t>
      </w:r>
      <w:r w:rsidR="00EF1AA4">
        <w:rPr>
          <w:b/>
        </w:rPr>
        <w:t>рмационно-образовательной среды</w:t>
      </w:r>
    </w:p>
    <w:p w:rsidR="00EF1AA4" w:rsidRP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rPr>
          <w:b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8510"/>
        <w:gridCol w:w="5053"/>
      </w:tblGrid>
      <w:tr w:rsidR="005C34F0" w:rsidTr="005C34F0">
        <w:trPr>
          <w:trHeight w:val="1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32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ссылки на  электронную информационно-образовательную среду</w:t>
            </w:r>
          </w:p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32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сайте СГМУ (образовательный портал, персональная страница обучающегося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 и пароль</w:t>
            </w:r>
          </w:p>
        </w:tc>
      </w:tr>
      <w:tr w:rsidR="005C34F0" w:rsidTr="005C34F0">
        <w:trPr>
          <w:trHeight w:val="1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32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C34F0" w:rsidTr="005C34F0">
        <w:trPr>
          <w:trHeight w:val="1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outlineLvl w:val="0"/>
            </w:pPr>
          </w:p>
        </w:tc>
        <w:tc>
          <w:tcPr>
            <w:tcW w:w="1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320" w:right="0" w:firstLine="0"/>
              <w:jc w:val="center"/>
              <w:outlineLvl w:val="0"/>
            </w:pPr>
            <w:r>
              <w:rPr>
                <w:b/>
                <w:sz w:val="16"/>
                <w:szCs w:val="16"/>
                <w:highlight w:val="yellow"/>
              </w:rPr>
              <w:t>заполняется деканатами (отделами, институтами, кафедрами</w:t>
            </w:r>
            <w:r>
              <w:rPr>
                <w:sz w:val="16"/>
                <w:szCs w:val="16"/>
                <w:highlight w:val="yellow"/>
              </w:rPr>
              <w:t>)</w:t>
            </w:r>
          </w:p>
        </w:tc>
      </w:tr>
    </w:tbl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</w:pP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rPr>
          <w:bCs/>
          <w:u w:val="single"/>
        </w:rPr>
        <w:t>Графа 1:</w:t>
      </w:r>
      <w:r>
        <w:rPr>
          <w:bCs/>
        </w:rPr>
        <w:t xml:space="preserve"> </w:t>
      </w:r>
      <w:r>
        <w:t xml:space="preserve">в данной графе </w:t>
      </w:r>
      <w:r>
        <w:rPr>
          <w:bCs/>
        </w:rPr>
        <w:t xml:space="preserve">указывается адрес ссылки на электронную информационно-образовательную среду в информационно-телекоммуникационных сетях общего пользования, в том числе сети "Интернет"; 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rPr>
          <w:bCs/>
        </w:rPr>
        <w:t xml:space="preserve"> </w:t>
      </w:r>
      <w:r>
        <w:rPr>
          <w:bCs/>
          <w:u w:val="single"/>
        </w:rPr>
        <w:t>Графа 2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r>
        <w:t xml:space="preserve">в данной графе </w:t>
      </w:r>
      <w:r>
        <w:rPr>
          <w:bCs/>
        </w:rPr>
        <w:t>указывается логин и пароль, позволяющие осуществить переход на персональную страницу обучающегося в электронной информационно-образовательной среде, созданную не позднее, чем за 12 месяцев до даты подачи заявления</w:t>
      </w:r>
      <w:r>
        <w:t xml:space="preserve">  </w:t>
      </w: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rPr>
          <w:b/>
        </w:rPr>
      </w:pPr>
      <w:r w:rsidRPr="00EF1AA4">
        <w:rPr>
          <w:b/>
        </w:rPr>
        <w:t>Таблица 5. Наличие внутренней сист</w:t>
      </w:r>
      <w:r w:rsidR="00EF1AA4">
        <w:rPr>
          <w:b/>
        </w:rPr>
        <w:t>емы оценки качества образования</w:t>
      </w:r>
    </w:p>
    <w:p w:rsidR="00EF1AA4" w:rsidRPr="00EF1AA4" w:rsidRDefault="00EF1AA4" w:rsidP="00EF1AA4">
      <w:pPr>
        <w:autoSpaceDE w:val="0"/>
        <w:autoSpaceDN w:val="0"/>
        <w:adjustRightInd w:val="0"/>
        <w:spacing w:before="0" w:line="276" w:lineRule="auto"/>
        <w:ind w:left="0" w:right="0"/>
        <w:jc w:val="center"/>
        <w:rPr>
          <w:b/>
        </w:rPr>
      </w:pPr>
      <w:bookmarkStart w:id="0" w:name="_GoBack"/>
      <w:bookmarkEnd w:id="0"/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9"/>
        <w:gridCol w:w="5023"/>
      </w:tblGrid>
      <w:tr w:rsidR="005C34F0" w:rsidTr="005C34F0">
        <w:trPr>
          <w:trHeight w:val="311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внутренней системы оценки качества образования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ссылки на соответствующую информацию, размещенную в информационно-телекоммуникационных сетях общего пользования, в том числе сети "Интернет"</w:t>
            </w:r>
          </w:p>
        </w:tc>
      </w:tr>
      <w:tr w:rsidR="005C34F0" w:rsidTr="005C34F0">
        <w:trPr>
          <w:trHeight w:val="311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C34F0" w:rsidTr="005C34F0">
        <w:trPr>
          <w:trHeight w:val="311"/>
        </w:trPr>
        <w:tc>
          <w:tcPr>
            <w:tcW w:w="1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F0" w:rsidRDefault="005C34F0" w:rsidP="00EF1AA4">
            <w:pPr>
              <w:autoSpaceDE w:val="0"/>
              <w:autoSpaceDN w:val="0"/>
              <w:adjustRightInd w:val="0"/>
              <w:spacing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заполняется отделом контроля качества образования, лицензирования и аккредитации</w:t>
            </w:r>
          </w:p>
        </w:tc>
      </w:tr>
    </w:tbl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 w:firstLine="0"/>
      </w:pPr>
    </w:p>
    <w:p w:rsidR="005C34F0" w:rsidRDefault="005C34F0" w:rsidP="00EF1AA4">
      <w:pPr>
        <w:autoSpaceDE w:val="0"/>
        <w:autoSpaceDN w:val="0"/>
        <w:adjustRightInd w:val="0"/>
        <w:spacing w:before="0" w:line="276" w:lineRule="auto"/>
        <w:ind w:left="0" w:right="0"/>
      </w:pPr>
      <w:r>
        <w:rPr>
          <w:u w:val="single"/>
        </w:rPr>
        <w:t>В графе</w:t>
      </w:r>
      <w:proofErr w:type="gramStart"/>
      <w:r>
        <w:rPr>
          <w:u w:val="single"/>
        </w:rPr>
        <w:t>1</w:t>
      </w:r>
      <w:proofErr w:type="gramEnd"/>
      <w:r>
        <w:t xml:space="preserve"> указывается адрес ссылки на соответствующую информацию, размещенную в информационно-телекоммуникационных сетях общего пользования, в том числе сети "Интернет" (сайт СГМУ), свидетельствующую о наличии в организации внутренней системы оценки качества образования: локальный нормативный акт о внутренней системе оценки качества, отчет о </w:t>
      </w:r>
      <w:proofErr w:type="spellStart"/>
      <w:r>
        <w:t>самообследовании</w:t>
      </w:r>
      <w:proofErr w:type="spellEnd"/>
      <w:r>
        <w:t xml:space="preserve">, результаты опросов об удовлетворенности качеством образования. </w:t>
      </w:r>
    </w:p>
    <w:p w:rsidR="005369FF" w:rsidRDefault="005369FF" w:rsidP="00EF1AA4">
      <w:pPr>
        <w:spacing w:line="276" w:lineRule="auto"/>
      </w:pPr>
    </w:p>
    <w:sectPr w:rsidR="005369FF" w:rsidSect="00EF1AA4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F0"/>
    <w:rsid w:val="005369FF"/>
    <w:rsid w:val="005C34F0"/>
    <w:rsid w:val="0063169F"/>
    <w:rsid w:val="00E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F0"/>
    <w:pPr>
      <w:spacing w:before="212" w:after="0" w:line="360" w:lineRule="auto"/>
      <w:ind w:left="816" w:right="629"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F0"/>
    <w:pPr>
      <w:spacing w:before="212" w:after="0" w:line="360" w:lineRule="auto"/>
      <w:ind w:left="816" w:right="629"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Медведкина</dc:creator>
  <cp:lastModifiedBy>Дарья Александровна Медведкина</cp:lastModifiedBy>
  <cp:revision>1</cp:revision>
  <dcterms:created xsi:type="dcterms:W3CDTF">2024-02-19T13:16:00Z</dcterms:created>
  <dcterms:modified xsi:type="dcterms:W3CDTF">2024-02-19T14:39:00Z</dcterms:modified>
</cp:coreProperties>
</file>